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bookmarkStart w:name="1_bookmark3"/>
    <w:p w:rsidRDefault="00B82E19" w:rsidP="00B82E19" w:rsidR="00B82E19">
      <w:pPr>
        <w:pStyle w:val="Heading2"/>
        <w:numPr>
          <w:ilvl w:val="0"/>
          <w:numId w:val="0"/>
        </w:numPr>
      </w:pPr>
      <w:bookmarkStart w:name="_Toc147905059_1" w:id="100001"/>
      <w:bookmarkStart w:name="nxmlformatsorgdrawingml2006chart_1" w:id="100002"/>
      <w:bookmarkEnd w:id="100003"/>
      <w:r>
        <w:t>DrawingML - Charts</w:t>
      </w:r>
      <w:bookmarkEnd w:id="100001"/>
    </w:p>
    <w:bookmarkEnd w:id="100002"/>
    <w:p w:rsidRDefault="00B82E19" w:rsidP="00B82E19" w:rsidR="00B82E19">
      <w:r>
        <w:t>The chart namespace in DrawingML is for representing visualizations of numeric data with column charts, pie charts, scatter charts, or other types of charts.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